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505" w:rsidRDefault="00AC0505" w:rsidP="00AC0505">
      <w:pPr>
        <w:spacing w:after="0" w:line="360" w:lineRule="auto"/>
        <w:jc w:val="both"/>
        <w:rPr>
          <w:rFonts w:ascii="Palatino Linotype" w:hAnsi="Palatino Linotype"/>
          <w:b/>
          <w:sz w:val="24"/>
          <w:szCs w:val="24"/>
        </w:rPr>
      </w:pPr>
      <w:r>
        <w:rPr>
          <w:rFonts w:ascii="Palatino Linotype" w:hAnsi="Palatino Linotype"/>
          <w:b/>
          <w:sz w:val="24"/>
          <w:szCs w:val="24"/>
        </w:rPr>
        <w:t>VOTO PARTICULAR QUE FORMULA LA COMISIONADA</w:t>
      </w:r>
      <w:r w:rsidR="00A36DBB">
        <w:rPr>
          <w:rFonts w:ascii="Palatino Linotype" w:hAnsi="Palatino Linotype"/>
          <w:b/>
          <w:sz w:val="24"/>
          <w:szCs w:val="24"/>
        </w:rPr>
        <w:t xml:space="preserve"> PRESIDENTA</w:t>
      </w:r>
      <w:r w:rsidRPr="00563D0F">
        <w:rPr>
          <w:rFonts w:ascii="Palatino Linotype" w:hAnsi="Palatino Linotype"/>
          <w:b/>
          <w:sz w:val="24"/>
          <w:szCs w:val="24"/>
        </w:rPr>
        <w:t xml:space="preserve"> ZULEMA MARTÍNEZ SÁNCHEZ, EN RELACIÓN CON LA RESOLUCIÓN DICTADA POR EL PLENO D</w:t>
      </w:r>
      <w:r>
        <w:rPr>
          <w:rFonts w:ascii="Palatino Linotype" w:hAnsi="Palatino Linotype"/>
          <w:b/>
          <w:sz w:val="24"/>
          <w:szCs w:val="24"/>
        </w:rPr>
        <w:t xml:space="preserve">EL INSTITUTO DE TRANSPARENCIA, </w:t>
      </w:r>
      <w:r w:rsidRPr="00563D0F">
        <w:rPr>
          <w:rFonts w:ascii="Palatino Linotype" w:hAnsi="Palatino Linotype"/>
          <w:b/>
          <w:sz w:val="24"/>
          <w:szCs w:val="24"/>
        </w:rPr>
        <w:t xml:space="preserve">ACCESO A LA INFORMACIÓN PÚBLICA Y PROTECCIÓN DE DATOS PERSONALES DEL ESTADO DE MÉXICO Y MUNICIPIOS, EN LA </w:t>
      </w:r>
      <w:r w:rsidR="00D90C80">
        <w:rPr>
          <w:rFonts w:ascii="Palatino Linotype" w:hAnsi="Palatino Linotype"/>
          <w:b/>
          <w:sz w:val="24"/>
          <w:szCs w:val="24"/>
        </w:rPr>
        <w:t xml:space="preserve">VIGÉSIMA </w:t>
      </w:r>
      <w:r w:rsidR="00C570F9">
        <w:rPr>
          <w:rFonts w:ascii="Palatino Linotype" w:hAnsi="Palatino Linotype"/>
          <w:b/>
          <w:sz w:val="24"/>
          <w:szCs w:val="24"/>
        </w:rPr>
        <w:t>NOVENA</w:t>
      </w:r>
      <w:r>
        <w:rPr>
          <w:rFonts w:ascii="Palatino Linotype" w:hAnsi="Palatino Linotype"/>
          <w:b/>
          <w:sz w:val="24"/>
          <w:szCs w:val="24"/>
        </w:rPr>
        <w:t xml:space="preserve"> </w:t>
      </w:r>
      <w:r w:rsidRPr="00563D0F">
        <w:rPr>
          <w:rFonts w:ascii="Palatino Linotype" w:hAnsi="Palatino Linotype"/>
          <w:b/>
          <w:sz w:val="24"/>
          <w:szCs w:val="24"/>
        </w:rPr>
        <w:t>SESIÓN ORDINARIA DE</w:t>
      </w:r>
      <w:r>
        <w:rPr>
          <w:rFonts w:ascii="Palatino Linotype" w:hAnsi="Palatino Linotype"/>
          <w:b/>
          <w:sz w:val="24"/>
          <w:szCs w:val="24"/>
        </w:rPr>
        <w:t>L</w:t>
      </w:r>
      <w:r w:rsidRPr="00563D0F">
        <w:rPr>
          <w:rFonts w:ascii="Palatino Linotype" w:hAnsi="Palatino Linotype"/>
          <w:b/>
          <w:sz w:val="24"/>
          <w:szCs w:val="24"/>
        </w:rPr>
        <w:t xml:space="preserve"> </w:t>
      </w:r>
      <w:r w:rsidR="00C570F9">
        <w:rPr>
          <w:rFonts w:ascii="Palatino Linotype" w:hAnsi="Palatino Linotype"/>
          <w:b/>
          <w:sz w:val="24"/>
          <w:szCs w:val="24"/>
        </w:rPr>
        <w:t>QUINCE DE AGOSTO</w:t>
      </w:r>
      <w:r>
        <w:rPr>
          <w:rFonts w:ascii="Palatino Linotype" w:hAnsi="Palatino Linotype"/>
          <w:b/>
          <w:sz w:val="24"/>
          <w:szCs w:val="24"/>
        </w:rPr>
        <w:t xml:space="preserve"> D</w:t>
      </w:r>
      <w:r w:rsidRPr="00563D0F">
        <w:rPr>
          <w:rFonts w:ascii="Palatino Linotype" w:hAnsi="Palatino Linotype"/>
          <w:b/>
          <w:sz w:val="24"/>
          <w:szCs w:val="24"/>
        </w:rPr>
        <w:t xml:space="preserve">E DOS MIL </w:t>
      </w:r>
      <w:r>
        <w:rPr>
          <w:rFonts w:ascii="Palatino Linotype" w:hAnsi="Palatino Linotype"/>
          <w:b/>
          <w:sz w:val="24"/>
          <w:szCs w:val="24"/>
        </w:rPr>
        <w:t>DIECI</w:t>
      </w:r>
      <w:r w:rsidR="00A36DBB">
        <w:rPr>
          <w:rFonts w:ascii="Palatino Linotype" w:hAnsi="Palatino Linotype"/>
          <w:b/>
          <w:sz w:val="24"/>
          <w:szCs w:val="24"/>
        </w:rPr>
        <w:t>OCHO</w:t>
      </w:r>
      <w:r>
        <w:rPr>
          <w:rFonts w:ascii="Palatino Linotype" w:hAnsi="Palatino Linotype"/>
          <w:b/>
          <w:sz w:val="24"/>
          <w:szCs w:val="24"/>
        </w:rPr>
        <w:t>, EN EL</w:t>
      </w:r>
      <w:r w:rsidRPr="00563D0F">
        <w:rPr>
          <w:rFonts w:ascii="Palatino Linotype" w:hAnsi="Palatino Linotype"/>
          <w:b/>
          <w:sz w:val="24"/>
          <w:szCs w:val="24"/>
        </w:rPr>
        <w:t xml:space="preserve"> RECURSO DE REVISIÓN </w:t>
      </w:r>
      <w:r>
        <w:rPr>
          <w:rFonts w:ascii="Palatino Linotype" w:hAnsi="Palatino Linotype"/>
          <w:b/>
          <w:sz w:val="24"/>
          <w:szCs w:val="24"/>
        </w:rPr>
        <w:t>0</w:t>
      </w:r>
      <w:r w:rsidR="00C570F9">
        <w:rPr>
          <w:rFonts w:ascii="Palatino Linotype" w:hAnsi="Palatino Linotype"/>
          <w:b/>
          <w:sz w:val="24"/>
          <w:szCs w:val="24"/>
        </w:rPr>
        <w:t>2376</w:t>
      </w:r>
      <w:r w:rsidR="00D90C80">
        <w:rPr>
          <w:rFonts w:ascii="Palatino Linotype" w:hAnsi="Palatino Linotype"/>
          <w:b/>
          <w:sz w:val="24"/>
          <w:szCs w:val="24"/>
        </w:rPr>
        <w:t>/INFOEM/IP/RR/2018</w:t>
      </w:r>
      <w:r>
        <w:rPr>
          <w:rFonts w:ascii="Palatino Linotype" w:hAnsi="Palatino Linotype"/>
          <w:b/>
          <w:sz w:val="24"/>
          <w:szCs w:val="24"/>
        </w:rPr>
        <w:t>.</w:t>
      </w:r>
    </w:p>
    <w:p w:rsidR="00AC0505" w:rsidRPr="00563D0F" w:rsidRDefault="00AC0505" w:rsidP="00AC0505">
      <w:pPr>
        <w:spacing w:after="0" w:line="360" w:lineRule="auto"/>
        <w:jc w:val="both"/>
        <w:rPr>
          <w:rFonts w:ascii="Palatino Linotype" w:hAnsi="Palatino Linotype"/>
          <w:b/>
          <w:sz w:val="24"/>
          <w:szCs w:val="24"/>
        </w:rPr>
      </w:pPr>
    </w:p>
    <w:p w:rsidR="00AC0505" w:rsidRPr="00D2657A" w:rsidRDefault="00AC0505" w:rsidP="00AC0505">
      <w:pPr>
        <w:spacing w:after="0" w:line="360" w:lineRule="auto"/>
        <w:jc w:val="both"/>
        <w:rPr>
          <w:rFonts w:ascii="Palatino Linotype" w:hAnsi="Palatino Linotype"/>
          <w:sz w:val="24"/>
          <w:szCs w:val="24"/>
        </w:rPr>
      </w:pPr>
      <w:r w:rsidRPr="00D2657A">
        <w:rPr>
          <w:rFonts w:ascii="Palatino Linotype" w:hAnsi="Palatino Linotype"/>
          <w:sz w:val="24"/>
          <w:szCs w:val="24"/>
        </w:rPr>
        <w:t xml:space="preserve">Con fundamento en lo dispuesto por el artículo 14 fracción XI del Reglamento Interior del Instituto de Transparencia, Acceso a la Información Pública y Protección de Datos Personales del </w:t>
      </w:r>
      <w:r w:rsidR="005A0F44" w:rsidRPr="00D2657A">
        <w:rPr>
          <w:rFonts w:ascii="Palatino Linotype" w:hAnsi="Palatino Linotype"/>
          <w:sz w:val="24"/>
          <w:szCs w:val="24"/>
        </w:rPr>
        <w:t xml:space="preserve">Estado de México y Municipios, la </w:t>
      </w:r>
      <w:r w:rsidRPr="00D2657A">
        <w:rPr>
          <w:rFonts w:ascii="Palatino Linotype" w:hAnsi="Palatino Linotype"/>
          <w:sz w:val="24"/>
          <w:szCs w:val="24"/>
        </w:rPr>
        <w:t>que suscribe Comisionada</w:t>
      </w:r>
      <w:r w:rsidR="005A0F44" w:rsidRPr="00D2657A">
        <w:rPr>
          <w:rFonts w:ascii="Palatino Linotype" w:hAnsi="Palatino Linotype"/>
          <w:sz w:val="24"/>
          <w:szCs w:val="24"/>
        </w:rPr>
        <w:t xml:space="preserve"> Presidenta </w:t>
      </w:r>
      <w:r w:rsidRPr="00D2657A">
        <w:rPr>
          <w:rFonts w:ascii="Palatino Linotype" w:hAnsi="Palatino Linotype"/>
          <w:sz w:val="24"/>
          <w:szCs w:val="24"/>
        </w:rPr>
        <w:t>Zulema Martínez Sánchez  emiti</w:t>
      </w:r>
      <w:r w:rsidR="005A0F44" w:rsidRPr="00D2657A">
        <w:rPr>
          <w:rFonts w:ascii="Palatino Linotype" w:hAnsi="Palatino Linotype"/>
          <w:sz w:val="24"/>
          <w:szCs w:val="24"/>
        </w:rPr>
        <w:t xml:space="preserve">endo VOTO PARTICULAR </w:t>
      </w:r>
      <w:r w:rsidRPr="00D2657A">
        <w:rPr>
          <w:rFonts w:ascii="Palatino Linotype" w:hAnsi="Palatino Linotype"/>
          <w:sz w:val="24"/>
          <w:szCs w:val="24"/>
        </w:rPr>
        <w:t xml:space="preserve">respecto </w:t>
      </w:r>
      <w:r w:rsidR="005F7357">
        <w:rPr>
          <w:rFonts w:ascii="Palatino Linotype" w:hAnsi="Palatino Linotype"/>
          <w:sz w:val="24"/>
          <w:szCs w:val="24"/>
        </w:rPr>
        <w:t>de</w:t>
      </w:r>
      <w:r w:rsidRPr="00D2657A">
        <w:rPr>
          <w:rFonts w:ascii="Palatino Linotype" w:hAnsi="Palatino Linotype"/>
          <w:sz w:val="24"/>
          <w:szCs w:val="24"/>
        </w:rPr>
        <w:t xml:space="preserve"> la resolución dictada en el recurso de revisión número 0</w:t>
      </w:r>
      <w:r w:rsidR="00C570F9">
        <w:rPr>
          <w:rFonts w:ascii="Palatino Linotype" w:hAnsi="Palatino Linotype"/>
          <w:sz w:val="24"/>
          <w:szCs w:val="24"/>
        </w:rPr>
        <w:t>2376</w:t>
      </w:r>
      <w:r w:rsidRPr="00D2657A">
        <w:rPr>
          <w:rFonts w:ascii="Palatino Linotype" w:hAnsi="Palatino Linotype"/>
          <w:sz w:val="24"/>
          <w:szCs w:val="24"/>
        </w:rPr>
        <w:t>/INFOEM/IP/RR/201</w:t>
      </w:r>
      <w:r w:rsidR="00D90C80" w:rsidRPr="00D2657A">
        <w:rPr>
          <w:rFonts w:ascii="Palatino Linotype" w:hAnsi="Palatino Linotype"/>
          <w:sz w:val="24"/>
          <w:szCs w:val="24"/>
        </w:rPr>
        <w:t>8</w:t>
      </w:r>
      <w:r w:rsidRPr="00D2657A">
        <w:rPr>
          <w:rFonts w:ascii="Palatino Linotype" w:hAnsi="Palatino Linotype"/>
          <w:sz w:val="24"/>
          <w:szCs w:val="24"/>
        </w:rPr>
        <w:t xml:space="preserve">, pronunciada por el Pleno de este Instituto ante el proyecto presentado por </w:t>
      </w:r>
      <w:r w:rsidR="00C570F9">
        <w:rPr>
          <w:rFonts w:ascii="Palatino Linotype" w:hAnsi="Palatino Linotype"/>
          <w:sz w:val="24"/>
          <w:szCs w:val="24"/>
        </w:rPr>
        <w:t xml:space="preserve">el </w:t>
      </w:r>
      <w:r w:rsidRPr="00D2657A">
        <w:rPr>
          <w:rFonts w:ascii="Palatino Linotype" w:hAnsi="Palatino Linotype"/>
          <w:sz w:val="24"/>
          <w:szCs w:val="24"/>
        </w:rPr>
        <w:t>Comisionad</w:t>
      </w:r>
      <w:r w:rsidR="00C570F9">
        <w:rPr>
          <w:rFonts w:ascii="Palatino Linotype" w:hAnsi="Palatino Linotype"/>
          <w:sz w:val="24"/>
          <w:szCs w:val="24"/>
        </w:rPr>
        <w:t>o Javier Martínez Cruz</w:t>
      </w:r>
      <w:r w:rsidRPr="00D2657A">
        <w:rPr>
          <w:rFonts w:ascii="Palatino Linotype" w:hAnsi="Palatino Linotype"/>
          <w:sz w:val="24"/>
          <w:szCs w:val="24"/>
        </w:rPr>
        <w:t xml:space="preserve">, que es del tenor siguiente: </w:t>
      </w:r>
    </w:p>
    <w:p w:rsidR="00AC0505" w:rsidRPr="00E64EBB" w:rsidRDefault="00AC0505" w:rsidP="00AC0505">
      <w:pPr>
        <w:spacing w:after="0" w:line="360" w:lineRule="auto"/>
        <w:jc w:val="both"/>
        <w:rPr>
          <w:rFonts w:ascii="Palatino Linotype" w:hAnsi="Palatino Linotype"/>
          <w:sz w:val="24"/>
          <w:szCs w:val="24"/>
        </w:rPr>
      </w:pPr>
    </w:p>
    <w:p w:rsidR="004302F8" w:rsidRPr="00AA2CD1" w:rsidRDefault="005F7357" w:rsidP="00AC0505">
      <w:pPr>
        <w:spacing w:after="0" w:line="360" w:lineRule="auto"/>
        <w:jc w:val="both"/>
        <w:rPr>
          <w:rFonts w:ascii="Palatino Linotype" w:hAnsi="Palatino Linotype" w:cs="Arial"/>
          <w:sz w:val="24"/>
          <w:szCs w:val="24"/>
        </w:rPr>
      </w:pPr>
      <w:r w:rsidRPr="00E64EBB">
        <w:rPr>
          <w:rFonts w:ascii="Palatino Linotype" w:hAnsi="Palatino Linotype"/>
          <w:sz w:val="24"/>
          <w:szCs w:val="24"/>
        </w:rPr>
        <w:t>En relación a la presente resolución, en donde el particular solicitó</w:t>
      </w:r>
      <w:r w:rsidR="0009511B" w:rsidRPr="00E64EBB">
        <w:rPr>
          <w:rFonts w:ascii="Palatino Linotype" w:hAnsi="Palatino Linotype"/>
          <w:sz w:val="24"/>
          <w:szCs w:val="24"/>
        </w:rPr>
        <w:t xml:space="preserve"> </w:t>
      </w:r>
      <w:r w:rsidR="00C570F9" w:rsidRPr="003956B6">
        <w:rPr>
          <w:rFonts w:ascii="Palatino Linotype" w:hAnsi="Palatino Linotype"/>
          <w:i/>
          <w:color w:val="000000"/>
        </w:rPr>
        <w:t>Con relación al predio donde se localiza el "Hospital Ángeles Lomas" ubicado en Hacienda de las Palmas, Col. Valle de las Palmas, código postal 52763, Huixquilucan, Estado de México y del cual adjunto plano de localización como referencia, solicito la siguiente documentación: 1. Estudio y dictamen de impacto ambiental. 2. Estudio y dictamen de impacto regional. 3. Estudio y dictamen de impacto vial. 4. Estudio y dictamen de Protección Civil. 5. Licencia de funcionamiento. 6. Dictamen único de factibilidad</w:t>
      </w:r>
      <w:r w:rsidR="0009511B" w:rsidRPr="00E64EBB">
        <w:rPr>
          <w:rFonts w:ascii="Palatino Linotype" w:hAnsi="Palatino Linotype" w:cs="Arial"/>
          <w:i/>
          <w:sz w:val="24"/>
          <w:szCs w:val="24"/>
        </w:rPr>
        <w:t xml:space="preserve">” (Sic). </w:t>
      </w:r>
      <w:proofErr w:type="gramStart"/>
      <w:r w:rsidR="00765FE6" w:rsidRPr="00E64EBB">
        <w:rPr>
          <w:rFonts w:ascii="Palatino Linotype" w:hAnsi="Palatino Linotype" w:cs="Arial"/>
          <w:sz w:val="24"/>
          <w:szCs w:val="24"/>
        </w:rPr>
        <w:t>en</w:t>
      </w:r>
      <w:proofErr w:type="gramEnd"/>
      <w:r w:rsidR="00765FE6" w:rsidRPr="00E64EBB">
        <w:rPr>
          <w:rFonts w:ascii="Palatino Linotype" w:hAnsi="Palatino Linotype" w:cs="Arial"/>
          <w:sz w:val="24"/>
          <w:szCs w:val="24"/>
        </w:rPr>
        <w:t xml:space="preserve"> </w:t>
      </w:r>
      <w:r w:rsidR="00765FE6" w:rsidRPr="00E64EBB">
        <w:rPr>
          <w:rFonts w:ascii="Palatino Linotype" w:hAnsi="Palatino Linotype" w:cs="Arial"/>
          <w:sz w:val="24"/>
          <w:szCs w:val="24"/>
        </w:rPr>
        <w:lastRenderedPageBreak/>
        <w:t xml:space="preserve">respuesta el Sujeto Obligado hizo del conocimiento, </w:t>
      </w:r>
      <w:r w:rsidR="00C570F9">
        <w:rPr>
          <w:rFonts w:ascii="Palatino Linotype" w:hAnsi="Palatino Linotype" w:cs="Arial"/>
          <w:sz w:val="24"/>
          <w:szCs w:val="24"/>
        </w:rPr>
        <w:t xml:space="preserve">mediante oficio remitido por la </w:t>
      </w:r>
      <w:r w:rsidR="004302F8">
        <w:rPr>
          <w:rFonts w:ascii="Palatino Linotype" w:hAnsi="Palatino Linotype" w:cs="Arial"/>
          <w:sz w:val="24"/>
          <w:szCs w:val="24"/>
        </w:rPr>
        <w:t xml:space="preserve">Directora </w:t>
      </w:r>
      <w:r w:rsidR="00C570F9">
        <w:rPr>
          <w:rFonts w:ascii="Palatino Linotype" w:hAnsi="Palatino Linotype" w:cs="Arial"/>
          <w:sz w:val="24"/>
          <w:szCs w:val="24"/>
        </w:rPr>
        <w:t>General de operación urbana en donde menciono</w:t>
      </w:r>
      <w:r w:rsidR="004302F8">
        <w:rPr>
          <w:rFonts w:ascii="Palatino Linotype" w:hAnsi="Palatino Linotype" w:cs="Arial"/>
          <w:sz w:val="24"/>
          <w:szCs w:val="24"/>
        </w:rPr>
        <w:t xml:space="preserve"> </w:t>
      </w:r>
      <w:r w:rsidR="00C570F9">
        <w:rPr>
          <w:rFonts w:ascii="Palatino Linotype" w:hAnsi="Palatino Linotype" w:cs="Arial"/>
          <w:sz w:val="24"/>
          <w:szCs w:val="24"/>
        </w:rPr>
        <w:t xml:space="preserve">que de una búsqueda efectuada por la subdirección de </w:t>
      </w:r>
      <w:r w:rsidR="004302F8">
        <w:rPr>
          <w:rFonts w:ascii="Palatino Linotype" w:hAnsi="Palatino Linotype" w:cs="Arial"/>
          <w:sz w:val="24"/>
          <w:szCs w:val="24"/>
        </w:rPr>
        <w:t>dictámenes</w:t>
      </w:r>
      <w:r w:rsidR="00C570F9">
        <w:rPr>
          <w:rFonts w:ascii="Palatino Linotype" w:hAnsi="Palatino Linotype" w:cs="Arial"/>
          <w:sz w:val="24"/>
          <w:szCs w:val="24"/>
        </w:rPr>
        <w:t xml:space="preserve"> urbanos, no se </w:t>
      </w:r>
      <w:r w:rsidR="004302F8">
        <w:rPr>
          <w:rFonts w:ascii="Palatino Linotype" w:hAnsi="Palatino Linotype" w:cs="Arial"/>
          <w:sz w:val="24"/>
          <w:szCs w:val="24"/>
        </w:rPr>
        <w:t>localizó</w:t>
      </w:r>
      <w:r w:rsidR="00C570F9">
        <w:rPr>
          <w:rFonts w:ascii="Palatino Linotype" w:hAnsi="Palatino Linotype" w:cs="Arial"/>
          <w:sz w:val="24"/>
          <w:szCs w:val="24"/>
        </w:rPr>
        <w:t xml:space="preserve"> registro alguno respecto del</w:t>
      </w:r>
      <w:r w:rsidR="004302F8">
        <w:rPr>
          <w:rFonts w:ascii="Palatino Linotype" w:hAnsi="Palatino Linotype" w:cs="Arial"/>
          <w:sz w:val="24"/>
          <w:szCs w:val="24"/>
        </w:rPr>
        <w:t xml:space="preserve"> </w:t>
      </w:r>
      <w:r w:rsidR="004302F8" w:rsidRPr="00AA2CD1">
        <w:rPr>
          <w:rFonts w:ascii="Palatino Linotype" w:hAnsi="Palatino Linotype" w:cs="Arial"/>
          <w:sz w:val="24"/>
          <w:szCs w:val="24"/>
        </w:rPr>
        <w:t>predio que se hace referencia.</w:t>
      </w:r>
    </w:p>
    <w:p w:rsidR="00765FE6" w:rsidRPr="00AA2CD1" w:rsidRDefault="00765FE6" w:rsidP="00AC0505">
      <w:pPr>
        <w:spacing w:after="0" w:line="360" w:lineRule="auto"/>
        <w:jc w:val="both"/>
        <w:rPr>
          <w:rFonts w:ascii="Palatino Linotype" w:hAnsi="Palatino Linotype" w:cs="Arial"/>
          <w:sz w:val="24"/>
          <w:szCs w:val="24"/>
        </w:rPr>
      </w:pPr>
    </w:p>
    <w:p w:rsidR="004302F8" w:rsidRPr="00AA2CD1" w:rsidRDefault="00765FE6" w:rsidP="004302F8">
      <w:pPr>
        <w:spacing w:before="240" w:after="240" w:line="360" w:lineRule="auto"/>
        <w:ind w:right="51"/>
        <w:jc w:val="both"/>
        <w:rPr>
          <w:rFonts w:ascii="Palatino Linotype" w:hAnsi="Palatino Linotype"/>
          <w:sz w:val="24"/>
          <w:szCs w:val="24"/>
        </w:rPr>
      </w:pPr>
      <w:r w:rsidRPr="00AA2CD1">
        <w:rPr>
          <w:rFonts w:ascii="Palatino Linotype" w:hAnsi="Palatino Linotype" w:cs="Arial"/>
          <w:sz w:val="24"/>
          <w:szCs w:val="24"/>
        </w:rPr>
        <w:t xml:space="preserve">Ahora bien del estudio de la ponencia </w:t>
      </w:r>
      <w:proofErr w:type="spellStart"/>
      <w:r w:rsidRPr="00AA2CD1">
        <w:rPr>
          <w:rFonts w:ascii="Palatino Linotype" w:hAnsi="Palatino Linotype" w:cs="Arial"/>
          <w:sz w:val="24"/>
          <w:szCs w:val="24"/>
        </w:rPr>
        <w:t>resolutora</w:t>
      </w:r>
      <w:proofErr w:type="spellEnd"/>
      <w:r w:rsidRPr="00AA2CD1">
        <w:rPr>
          <w:rFonts w:ascii="Palatino Linotype" w:hAnsi="Palatino Linotype" w:cs="Arial"/>
          <w:sz w:val="24"/>
          <w:szCs w:val="24"/>
        </w:rPr>
        <w:t xml:space="preserve"> se advierte que </w:t>
      </w:r>
      <w:r w:rsidR="004302F8" w:rsidRPr="00AA2CD1">
        <w:rPr>
          <w:rFonts w:ascii="Palatino Linotype" w:hAnsi="Palatino Linotype" w:cs="Arial"/>
          <w:sz w:val="24"/>
          <w:szCs w:val="24"/>
        </w:rPr>
        <w:t>de la solicitud planteada por el particular, versa específicamente en obtener el e</w:t>
      </w:r>
      <w:r w:rsidR="004302F8" w:rsidRPr="00AA2CD1">
        <w:rPr>
          <w:rFonts w:ascii="Palatino Linotype" w:hAnsi="Palatino Linotype"/>
          <w:sz w:val="24"/>
          <w:szCs w:val="24"/>
        </w:rPr>
        <w:t>studio y dictamen de impacto ambiental</w:t>
      </w:r>
      <w:r w:rsidR="004302F8" w:rsidRPr="00AA2CD1">
        <w:rPr>
          <w:rFonts w:ascii="Palatino Linotype" w:hAnsi="Palatino Linotype"/>
          <w:color w:val="000000"/>
          <w:sz w:val="24"/>
          <w:szCs w:val="24"/>
        </w:rPr>
        <w:t>, estudio y dictamen de impacto regional, estudio y dictamen de impacto vial, estudio y dictamen de protección civil, licencia de funcionamiento, dictamen único de factibilidad.</w:t>
      </w:r>
    </w:p>
    <w:p w:rsidR="001C5DA4" w:rsidRPr="00AA2CD1" w:rsidRDefault="007F72FA" w:rsidP="001C5DA4">
      <w:pPr>
        <w:autoSpaceDE w:val="0"/>
        <w:autoSpaceDN w:val="0"/>
        <w:adjustRightInd w:val="0"/>
        <w:spacing w:before="240" w:after="360" w:line="360" w:lineRule="auto"/>
        <w:ind w:right="18"/>
        <w:jc w:val="both"/>
        <w:rPr>
          <w:rFonts w:ascii="Palatino Linotype" w:hAnsi="Palatino Linotype"/>
          <w:sz w:val="24"/>
          <w:szCs w:val="24"/>
        </w:rPr>
      </w:pPr>
      <w:r w:rsidRPr="007A56EC">
        <w:rPr>
          <w:rFonts w:ascii="Palatino Linotype" w:hAnsi="Palatino Linotype"/>
          <w:sz w:val="24"/>
          <w:szCs w:val="24"/>
        </w:rPr>
        <w:t xml:space="preserve">Se estudió la Ley </w:t>
      </w:r>
      <w:r w:rsidRPr="007A56EC">
        <w:rPr>
          <w:rFonts w:ascii="Palatino Linotype" w:hAnsi="Palatino Linotype" w:cs="Arial"/>
          <w:sz w:val="24"/>
          <w:szCs w:val="24"/>
        </w:rPr>
        <w:t xml:space="preserve">Orgánica de la Administración Pública del Estado de México, determinando que la Secretaria de Desarrollo Urbano y Metropolitano </w:t>
      </w:r>
      <w:r w:rsidRPr="007A56EC">
        <w:rPr>
          <w:rFonts w:ascii="Palatino Linotype" w:hAnsi="Palatino Linotype"/>
          <w:sz w:val="24"/>
          <w:szCs w:val="24"/>
        </w:rPr>
        <w:t xml:space="preserve">es la dependencia encargada del ordenamiento territorial de los asentamientos humanos, la </w:t>
      </w:r>
      <w:r w:rsidRPr="007A56EC">
        <w:rPr>
          <w:rFonts w:ascii="Palatino Linotype" w:hAnsi="Palatino Linotype" w:cs="Arial"/>
          <w:sz w:val="24"/>
          <w:szCs w:val="24"/>
        </w:rPr>
        <w:t>Secretaria del Medio Ambiente quien realiza la evaluación de impacto ambiental y emite en su caso la manifestación de impacto ambiental,</w:t>
      </w:r>
      <w:r w:rsidR="00F45558" w:rsidRPr="007A56EC">
        <w:rPr>
          <w:rFonts w:ascii="Palatino Linotype" w:hAnsi="Palatino Linotype" w:cs="Arial"/>
          <w:sz w:val="24"/>
          <w:szCs w:val="24"/>
        </w:rPr>
        <w:t xml:space="preserve"> la Secretaria General de Gobierno a través de la Coordinación General de Protección Civil es la encargada de emitir la evaluación técnica de protección civil, la Secretaría de Medio Ambiente</w:t>
      </w:r>
      <w:r w:rsidR="007A56EC">
        <w:rPr>
          <w:rFonts w:ascii="Palatino Linotype" w:hAnsi="Palatino Linotype" w:cs="Arial"/>
          <w:sz w:val="24"/>
          <w:szCs w:val="24"/>
        </w:rPr>
        <w:t xml:space="preserve"> es la encargada de</w:t>
      </w:r>
      <w:r w:rsidR="00F45558" w:rsidRPr="007A56EC">
        <w:rPr>
          <w:rFonts w:ascii="Palatino Linotype" w:hAnsi="Palatino Linotype" w:cs="Arial"/>
          <w:sz w:val="24"/>
          <w:szCs w:val="24"/>
        </w:rPr>
        <w:t xml:space="preserve">l estudio y dictamen de impacto ambiental y/o manifestación de impacto ambiental, la Secretaría de Medio Ambiente es la encargada del estudio y dictamen de impacto vial, a la Secretaria de Desarrollo Urbano y Metropolitano, le corresponde el estudio y dictamen de impacto regional y/o el dictamen único de </w:t>
      </w:r>
      <w:r w:rsidR="00F45558" w:rsidRPr="007A56EC">
        <w:rPr>
          <w:rFonts w:ascii="Palatino Linotype" w:hAnsi="Palatino Linotype" w:cs="Arial"/>
          <w:sz w:val="24"/>
          <w:szCs w:val="24"/>
        </w:rPr>
        <w:lastRenderedPageBreak/>
        <w:t xml:space="preserve">factibilidad, en este sentido es correcta la apreciación del Sujeto Obligado, determinando que el Sujeto Obligado es el </w:t>
      </w:r>
      <w:proofErr w:type="spellStart"/>
      <w:r w:rsidR="00F45558" w:rsidRPr="007A56EC">
        <w:rPr>
          <w:rFonts w:ascii="Palatino Linotype" w:hAnsi="Palatino Linotype" w:cs="Arial"/>
          <w:sz w:val="24"/>
          <w:szCs w:val="24"/>
        </w:rPr>
        <w:t>ancargado</w:t>
      </w:r>
      <w:proofErr w:type="spellEnd"/>
      <w:r w:rsidR="00F45558" w:rsidRPr="007A56EC">
        <w:rPr>
          <w:rFonts w:ascii="Palatino Linotype" w:hAnsi="Palatino Linotype" w:cs="Arial"/>
          <w:sz w:val="24"/>
          <w:szCs w:val="24"/>
        </w:rPr>
        <w:t xml:space="preserve"> de </w:t>
      </w:r>
      <w:r w:rsidR="001C5DA4" w:rsidRPr="007A56EC">
        <w:rPr>
          <w:rFonts w:ascii="Palatino Linotype" w:hAnsi="Palatino Linotype" w:cs="Arial"/>
          <w:sz w:val="24"/>
          <w:szCs w:val="24"/>
        </w:rPr>
        <w:t xml:space="preserve">los asentamientos urbanos por lo que deberá emitir </w:t>
      </w:r>
      <w:r w:rsidR="001C5DA4" w:rsidRPr="007A56EC">
        <w:rPr>
          <w:rFonts w:ascii="Palatino Linotype" w:hAnsi="Palatino Linotype"/>
          <w:sz w:val="24"/>
          <w:szCs w:val="24"/>
        </w:rPr>
        <w:t xml:space="preserve">la evaluación técnica de impacto urbano, y/o dictamen de impacto regional y/o el dictamen único de factibilidad y toda vez que ya menciono que se </w:t>
      </w:r>
      <w:r w:rsidR="007A56EC" w:rsidRPr="007A56EC">
        <w:rPr>
          <w:rFonts w:ascii="Palatino Linotype" w:hAnsi="Palatino Linotype"/>
          <w:sz w:val="24"/>
          <w:szCs w:val="24"/>
        </w:rPr>
        <w:t>realizó</w:t>
      </w:r>
      <w:r w:rsidR="001C5DA4" w:rsidRPr="007A56EC">
        <w:rPr>
          <w:rFonts w:ascii="Palatino Linotype" w:hAnsi="Palatino Linotype"/>
          <w:sz w:val="24"/>
          <w:szCs w:val="24"/>
        </w:rPr>
        <w:t xml:space="preserve"> </w:t>
      </w:r>
      <w:r w:rsidR="001C5DA4" w:rsidRPr="00AA2CD1">
        <w:rPr>
          <w:rFonts w:ascii="Palatino Linotype" w:hAnsi="Palatino Linotype"/>
          <w:sz w:val="24"/>
          <w:szCs w:val="24"/>
        </w:rPr>
        <w:t>una búsqueda en sus archivos y esta información no fue encontrada, se confirma la respuesta.</w:t>
      </w:r>
    </w:p>
    <w:p w:rsidR="001C5DA4" w:rsidRPr="00AA2CD1" w:rsidRDefault="007A56EC" w:rsidP="001C5DA4">
      <w:pPr>
        <w:autoSpaceDE w:val="0"/>
        <w:autoSpaceDN w:val="0"/>
        <w:adjustRightInd w:val="0"/>
        <w:spacing w:before="240" w:after="360" w:line="360" w:lineRule="auto"/>
        <w:ind w:right="18"/>
        <w:jc w:val="both"/>
        <w:rPr>
          <w:rFonts w:ascii="Palatino Linotype" w:hAnsi="Palatino Linotype"/>
          <w:sz w:val="24"/>
          <w:szCs w:val="24"/>
        </w:rPr>
      </w:pPr>
      <w:r w:rsidRPr="00AA2CD1">
        <w:rPr>
          <w:rFonts w:ascii="Palatino Linotype" w:hAnsi="Palatino Linotype"/>
          <w:sz w:val="24"/>
          <w:szCs w:val="24"/>
        </w:rPr>
        <w:t xml:space="preserve">Sin embargo no perdamos de vista lo que señala la Ley de Transparencia y Acceso a la Información Pública del Estado de México y Municipios en su artículo </w:t>
      </w:r>
    </w:p>
    <w:p w:rsidR="00E64EBB" w:rsidRPr="007A56EC" w:rsidRDefault="007A56EC" w:rsidP="007A56EC">
      <w:pPr>
        <w:spacing w:after="0" w:line="360" w:lineRule="auto"/>
        <w:ind w:left="851" w:right="706"/>
        <w:jc w:val="both"/>
        <w:rPr>
          <w:rFonts w:ascii="Palatino Linotype" w:hAnsi="Palatino Linotype"/>
          <w:i/>
        </w:rPr>
      </w:pPr>
      <w:r w:rsidRPr="007A56EC">
        <w:rPr>
          <w:rFonts w:ascii="Palatino Linotype" w:hAnsi="Palatino Linotype"/>
          <w:i/>
        </w:rPr>
        <w:t>Artículo 49. Los Comités de Transparencia tendrán las siguientes atribuciones:</w:t>
      </w:r>
    </w:p>
    <w:p w:rsidR="007A56EC" w:rsidRPr="007A56EC" w:rsidRDefault="007A56EC" w:rsidP="007A56EC">
      <w:pPr>
        <w:spacing w:after="0" w:line="360" w:lineRule="auto"/>
        <w:ind w:left="851" w:right="706"/>
        <w:jc w:val="both"/>
        <w:rPr>
          <w:rFonts w:ascii="Palatino Linotype" w:hAnsi="Palatino Linotype"/>
          <w:i/>
        </w:rPr>
      </w:pPr>
      <w:r w:rsidRPr="007A56EC">
        <w:rPr>
          <w:rFonts w:ascii="Palatino Linotype" w:hAnsi="Palatino Linotype"/>
          <w:i/>
        </w:rPr>
        <w:t>…</w:t>
      </w:r>
    </w:p>
    <w:p w:rsidR="007A56EC" w:rsidRPr="007A56EC" w:rsidRDefault="007A56EC" w:rsidP="007A56EC">
      <w:pPr>
        <w:spacing w:after="0" w:line="360" w:lineRule="auto"/>
        <w:ind w:left="851" w:right="706"/>
        <w:jc w:val="both"/>
        <w:rPr>
          <w:rFonts w:ascii="Palatino Linotype" w:hAnsi="Palatino Linotype"/>
          <w:i/>
        </w:rPr>
      </w:pPr>
      <w:r w:rsidRPr="007A56EC">
        <w:rPr>
          <w:rFonts w:ascii="Palatino Linotype" w:hAnsi="Palatino Linotype"/>
          <w:i/>
        </w:rPr>
        <w:t>II. Confirmar, modificar o revocar las determinaciones que en materia de ampliación del plazo de respuesta, clasificación de la información y declaración de inexistencia o de incompetencia realicen los titulares de las áreas de los sujetos obligados;</w:t>
      </w:r>
    </w:p>
    <w:p w:rsidR="007A56EC" w:rsidRPr="007A56EC" w:rsidRDefault="007A56EC" w:rsidP="007A56EC">
      <w:pPr>
        <w:spacing w:after="0" w:line="360" w:lineRule="auto"/>
        <w:ind w:left="851" w:right="706"/>
        <w:jc w:val="both"/>
        <w:rPr>
          <w:rFonts w:ascii="Palatino Linotype" w:hAnsi="Palatino Linotype"/>
          <w:i/>
        </w:rPr>
      </w:pPr>
      <w:r w:rsidRPr="007A56EC">
        <w:rPr>
          <w:rFonts w:ascii="Palatino Linotype" w:hAnsi="Palatino Linotype"/>
          <w:i/>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rsidR="007A56EC" w:rsidRPr="007A56EC" w:rsidRDefault="007A56EC" w:rsidP="007A56EC">
      <w:pPr>
        <w:spacing w:after="0" w:line="360" w:lineRule="auto"/>
        <w:ind w:left="851" w:right="706"/>
        <w:jc w:val="both"/>
        <w:rPr>
          <w:rFonts w:ascii="Palatino Linotype" w:hAnsi="Palatino Linotype"/>
          <w:i/>
        </w:rPr>
      </w:pPr>
      <w:r w:rsidRPr="007A56EC">
        <w:rPr>
          <w:rFonts w:ascii="Palatino Linotype" w:hAnsi="Palatino Linotype"/>
          <w:i/>
        </w:rPr>
        <w:t xml:space="preserve">Si los sujetos obligados son competentes para atender parcialmente la solicitud de acceso a la información, deberá dar respuesta respecto de dicha parte. Respecto de la </w:t>
      </w:r>
      <w:r w:rsidRPr="007A56EC">
        <w:rPr>
          <w:rFonts w:ascii="Palatino Linotype" w:hAnsi="Palatino Linotype"/>
          <w:i/>
        </w:rPr>
        <w:lastRenderedPageBreak/>
        <w:t xml:space="preserve">información sobre la cual es incompetente se procederá conforme lo señala el párrafo anterior. </w:t>
      </w:r>
    </w:p>
    <w:p w:rsidR="007A56EC" w:rsidRPr="007A56EC" w:rsidRDefault="007A56EC" w:rsidP="007A56EC">
      <w:pPr>
        <w:spacing w:after="0" w:line="360" w:lineRule="auto"/>
        <w:ind w:left="851" w:right="706"/>
        <w:jc w:val="both"/>
        <w:rPr>
          <w:rFonts w:ascii="Palatino Linotype" w:hAnsi="Palatino Linotype"/>
          <w:i/>
        </w:rPr>
      </w:pPr>
      <w:r w:rsidRPr="007A56EC">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rsidR="00E64EBB" w:rsidRDefault="00E64EBB" w:rsidP="00AC0505">
      <w:pPr>
        <w:spacing w:after="0" w:line="360" w:lineRule="auto"/>
        <w:jc w:val="both"/>
        <w:rPr>
          <w:rFonts w:ascii="Palatino Linotype" w:hAnsi="Palatino Linotype"/>
          <w:sz w:val="24"/>
          <w:szCs w:val="24"/>
        </w:rPr>
      </w:pPr>
    </w:p>
    <w:p w:rsidR="007A56EC" w:rsidRDefault="007A56EC" w:rsidP="00AA2CD1">
      <w:pPr>
        <w:tabs>
          <w:tab w:val="left" w:pos="709"/>
        </w:tabs>
        <w:spacing w:after="0" w:line="360" w:lineRule="auto"/>
        <w:ind w:right="51"/>
        <w:jc w:val="both"/>
        <w:rPr>
          <w:rFonts w:ascii="Palatino Linotype" w:eastAsia="Calibri" w:hAnsi="Palatino Linotype" w:cs="Arial"/>
          <w:sz w:val="24"/>
          <w:szCs w:val="24"/>
        </w:rPr>
      </w:pPr>
      <w:r w:rsidRPr="00FD1753">
        <w:rPr>
          <w:rFonts w:ascii="Palatino Linotype" w:hAnsi="Palatino Linotype"/>
          <w:sz w:val="24"/>
          <w:szCs w:val="24"/>
        </w:rPr>
        <w:t xml:space="preserve">De esta manera, se sustenta que el Sujeto Obligado a través de su Comité de Transparencia debe confirmar la incompetencia que en el presente asunto encuadra en el supuesto de la Ley, es decir se deberá elaborar </w:t>
      </w:r>
      <w:r w:rsidRPr="00FD1753">
        <w:rPr>
          <w:rFonts w:ascii="Palatino Linotype" w:eastAsia="Calibri" w:hAnsi="Palatino Linotype" w:cs="Arial"/>
          <w:sz w:val="24"/>
          <w:szCs w:val="24"/>
        </w:rPr>
        <w:t>el acuerdo mediante el cual se confirme la incompetencia declarada por el Titular de la Unidad de Transparencia, respecto a la solicitud de información presentada por el</w:t>
      </w:r>
      <w:r w:rsidRPr="00FD1753">
        <w:rPr>
          <w:rFonts w:ascii="Palatino Linotype" w:eastAsia="Calibri" w:hAnsi="Palatino Linotype" w:cs="Arial"/>
          <w:b/>
          <w:sz w:val="24"/>
          <w:szCs w:val="24"/>
        </w:rPr>
        <w:t xml:space="preserve"> </w:t>
      </w:r>
      <w:r w:rsidRPr="00FD1753">
        <w:rPr>
          <w:rFonts w:ascii="Palatino Linotype" w:eastAsia="Calibri" w:hAnsi="Palatino Linotype" w:cs="Arial"/>
          <w:sz w:val="24"/>
          <w:szCs w:val="24"/>
        </w:rPr>
        <w:t>Recurrente, debiendo notificarle de igual forma el Acuerdo de referencia</w:t>
      </w:r>
      <w:r>
        <w:rPr>
          <w:rFonts w:ascii="Palatino Linotype" w:eastAsia="Calibri" w:hAnsi="Palatino Linotype" w:cs="Arial"/>
          <w:sz w:val="24"/>
          <w:szCs w:val="24"/>
        </w:rPr>
        <w:t>.</w:t>
      </w:r>
    </w:p>
    <w:p w:rsidR="00AA2CD1" w:rsidRDefault="00AA2CD1" w:rsidP="00AA2CD1">
      <w:pPr>
        <w:tabs>
          <w:tab w:val="left" w:pos="709"/>
        </w:tabs>
        <w:spacing w:after="0" w:line="360" w:lineRule="auto"/>
        <w:ind w:right="51"/>
        <w:jc w:val="both"/>
        <w:rPr>
          <w:rFonts w:ascii="Palatino Linotype" w:hAnsi="Palatino Linotype"/>
          <w:sz w:val="24"/>
          <w:szCs w:val="24"/>
          <w:highlight w:val="yellow"/>
        </w:rPr>
      </w:pPr>
    </w:p>
    <w:p w:rsidR="007A56EC" w:rsidRDefault="007A56EC" w:rsidP="00AA2CD1">
      <w:pPr>
        <w:tabs>
          <w:tab w:val="left" w:pos="709"/>
        </w:tabs>
        <w:spacing w:after="0" w:line="360" w:lineRule="auto"/>
        <w:ind w:right="51"/>
        <w:jc w:val="both"/>
        <w:rPr>
          <w:rFonts w:ascii="Palatino Linotype" w:hAnsi="Palatino Linotype"/>
          <w:sz w:val="24"/>
          <w:szCs w:val="24"/>
        </w:rPr>
      </w:pPr>
      <w:r w:rsidRPr="00FD1753">
        <w:rPr>
          <w:rFonts w:ascii="Palatino Linotype" w:hAnsi="Palatino Linotype"/>
          <w:sz w:val="24"/>
          <w:szCs w:val="24"/>
        </w:rPr>
        <w:t>Por otra parte, ante la incompetencia, el Sujeto Obligado</w:t>
      </w:r>
      <w:r w:rsidRPr="00FD1753">
        <w:rPr>
          <w:rFonts w:ascii="Palatino Linotype" w:hAnsi="Palatino Linotype"/>
          <w:b/>
          <w:sz w:val="24"/>
          <w:szCs w:val="24"/>
        </w:rPr>
        <w:t xml:space="preserve"> </w:t>
      </w:r>
      <w:r w:rsidRPr="00FD1753">
        <w:rPr>
          <w:rFonts w:ascii="Palatino Linotype" w:hAnsi="Palatino Linotype"/>
          <w:sz w:val="24"/>
          <w:szCs w:val="24"/>
        </w:rPr>
        <w:t xml:space="preserve">tiene la potestad de orientar al particular sobre la dependencia pública ante quien deba presentar su solicitud de información. </w:t>
      </w:r>
    </w:p>
    <w:p w:rsidR="007A56EC" w:rsidRDefault="007A56EC" w:rsidP="00AA2CD1">
      <w:pPr>
        <w:tabs>
          <w:tab w:val="left" w:pos="709"/>
        </w:tabs>
        <w:spacing w:after="0" w:line="360" w:lineRule="auto"/>
        <w:ind w:right="51"/>
        <w:jc w:val="both"/>
        <w:rPr>
          <w:rFonts w:ascii="Palatino Linotype" w:hAnsi="Palatino Linotype"/>
          <w:sz w:val="24"/>
          <w:szCs w:val="24"/>
        </w:rPr>
      </w:pPr>
    </w:p>
    <w:p w:rsidR="007A56EC" w:rsidRDefault="007A56EC" w:rsidP="00AA2CD1">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En este orden de ideas la ponencia resolutoria, debió ordenar la entrega del acuerdo </w:t>
      </w:r>
      <w:r w:rsidR="00AA2CD1">
        <w:rPr>
          <w:rFonts w:ascii="Palatino Linotype" w:hAnsi="Palatino Linotype"/>
          <w:sz w:val="24"/>
          <w:szCs w:val="24"/>
        </w:rPr>
        <w:t>que confirme la incompetencia</w:t>
      </w:r>
      <w:r>
        <w:rPr>
          <w:rFonts w:ascii="Palatino Linotype" w:hAnsi="Palatino Linotype"/>
          <w:sz w:val="24"/>
          <w:szCs w:val="24"/>
        </w:rPr>
        <w:t xml:space="preserve"> emitida por el comité de Información del Sujeto Obligado, con la finalidad de no dejar en incertidumbre al particular, determinándose en el los sujeto obligados a los que debe solicitar la información, </w:t>
      </w:r>
      <w:r>
        <w:rPr>
          <w:rFonts w:ascii="Palatino Linotype" w:hAnsi="Palatino Linotype"/>
          <w:sz w:val="24"/>
          <w:szCs w:val="24"/>
        </w:rPr>
        <w:lastRenderedPageBreak/>
        <w:t>esto con el fin de no coartar el derecho de acceso a la información accionado por el particular.</w:t>
      </w:r>
      <w:r w:rsidRPr="00FD1753">
        <w:rPr>
          <w:rFonts w:ascii="Palatino Linotype" w:hAnsi="Palatino Linotype"/>
          <w:sz w:val="24"/>
          <w:szCs w:val="24"/>
        </w:rPr>
        <w:t xml:space="preserve"> </w:t>
      </w:r>
    </w:p>
    <w:p w:rsidR="00E64EBB" w:rsidRDefault="00E64EBB" w:rsidP="00AC0505">
      <w:pPr>
        <w:spacing w:after="0" w:line="360" w:lineRule="auto"/>
        <w:jc w:val="both"/>
        <w:rPr>
          <w:rFonts w:ascii="Palatino Linotype" w:hAnsi="Palatino Linotype"/>
          <w:sz w:val="24"/>
          <w:szCs w:val="24"/>
        </w:rPr>
      </w:pPr>
    </w:p>
    <w:p w:rsidR="00E64EBB" w:rsidRDefault="00E64EBB" w:rsidP="00AC0505">
      <w:pPr>
        <w:spacing w:after="0" w:line="360" w:lineRule="auto"/>
        <w:jc w:val="both"/>
        <w:rPr>
          <w:rFonts w:ascii="Palatino Linotype" w:hAnsi="Palatino Linotype"/>
          <w:sz w:val="24"/>
          <w:szCs w:val="24"/>
        </w:rPr>
      </w:pPr>
    </w:p>
    <w:p w:rsidR="007A56EC" w:rsidRDefault="007A56EC" w:rsidP="00AC0505">
      <w:pPr>
        <w:spacing w:after="0" w:line="360" w:lineRule="auto"/>
        <w:jc w:val="both"/>
        <w:rPr>
          <w:rFonts w:ascii="Palatino Linotype" w:hAnsi="Palatino Linotype"/>
          <w:sz w:val="24"/>
          <w:szCs w:val="24"/>
        </w:rPr>
      </w:pPr>
    </w:p>
    <w:p w:rsidR="007A56EC" w:rsidRDefault="007A56EC" w:rsidP="00AC0505">
      <w:pPr>
        <w:spacing w:after="0" w:line="360" w:lineRule="auto"/>
        <w:jc w:val="both"/>
        <w:rPr>
          <w:rFonts w:ascii="Palatino Linotype" w:hAnsi="Palatino Linotype"/>
          <w:sz w:val="24"/>
          <w:szCs w:val="24"/>
        </w:rPr>
      </w:pPr>
    </w:p>
    <w:p w:rsidR="007A56EC" w:rsidRDefault="007A56EC" w:rsidP="00AC0505">
      <w:pPr>
        <w:spacing w:after="0" w:line="360" w:lineRule="auto"/>
        <w:jc w:val="both"/>
        <w:rPr>
          <w:rFonts w:ascii="Palatino Linotype" w:hAnsi="Palatino Linotype"/>
          <w:sz w:val="24"/>
          <w:szCs w:val="24"/>
        </w:rPr>
      </w:pPr>
    </w:p>
    <w:p w:rsidR="00AA2CD1" w:rsidRDefault="00AA2CD1" w:rsidP="00AC0505">
      <w:pPr>
        <w:spacing w:after="0" w:line="360" w:lineRule="auto"/>
        <w:jc w:val="both"/>
        <w:rPr>
          <w:rFonts w:ascii="Palatino Linotype" w:hAnsi="Palatino Linotype"/>
          <w:sz w:val="24"/>
          <w:szCs w:val="24"/>
        </w:rPr>
      </w:pPr>
    </w:p>
    <w:p w:rsidR="00AA2CD1" w:rsidRDefault="00AA2CD1" w:rsidP="00AC0505">
      <w:pPr>
        <w:spacing w:after="0" w:line="360" w:lineRule="auto"/>
        <w:jc w:val="both"/>
        <w:rPr>
          <w:rFonts w:ascii="Palatino Linotype" w:hAnsi="Palatino Linotype"/>
          <w:sz w:val="24"/>
          <w:szCs w:val="24"/>
        </w:rPr>
      </w:pPr>
    </w:p>
    <w:p w:rsidR="00AA2CD1" w:rsidRDefault="00AA2CD1" w:rsidP="00AC0505">
      <w:pPr>
        <w:spacing w:after="0" w:line="360" w:lineRule="auto"/>
        <w:jc w:val="both"/>
        <w:rPr>
          <w:rFonts w:ascii="Palatino Linotype" w:hAnsi="Palatino Linotype"/>
          <w:sz w:val="24"/>
          <w:szCs w:val="24"/>
        </w:rPr>
      </w:pPr>
    </w:p>
    <w:p w:rsidR="00AA2CD1" w:rsidRDefault="00AA2CD1" w:rsidP="00AC0505">
      <w:pPr>
        <w:spacing w:after="0" w:line="360" w:lineRule="auto"/>
        <w:jc w:val="both"/>
        <w:rPr>
          <w:rFonts w:ascii="Palatino Linotype" w:hAnsi="Palatino Linotype"/>
          <w:sz w:val="24"/>
          <w:szCs w:val="24"/>
        </w:rPr>
      </w:pPr>
    </w:p>
    <w:p w:rsidR="007A56EC" w:rsidRDefault="007A56EC" w:rsidP="00AC0505">
      <w:pPr>
        <w:spacing w:after="0" w:line="360" w:lineRule="auto"/>
        <w:jc w:val="both"/>
        <w:rPr>
          <w:rFonts w:ascii="Palatino Linotype" w:hAnsi="Palatino Linotype"/>
          <w:sz w:val="24"/>
          <w:szCs w:val="24"/>
        </w:rPr>
      </w:pPr>
    </w:p>
    <w:p w:rsidR="007A56EC" w:rsidRDefault="007A56EC" w:rsidP="00AC0505">
      <w:pPr>
        <w:spacing w:after="0" w:line="360" w:lineRule="auto"/>
        <w:jc w:val="both"/>
        <w:rPr>
          <w:rFonts w:ascii="Palatino Linotype" w:hAnsi="Palatino Linotype"/>
          <w:sz w:val="24"/>
          <w:szCs w:val="24"/>
        </w:rPr>
      </w:pPr>
    </w:p>
    <w:p w:rsidR="007A56EC" w:rsidRDefault="007A56EC" w:rsidP="00AC0505">
      <w:pPr>
        <w:spacing w:after="0" w:line="360" w:lineRule="auto"/>
        <w:jc w:val="both"/>
        <w:rPr>
          <w:rFonts w:ascii="Palatino Linotype" w:hAnsi="Palatino Linotype"/>
          <w:sz w:val="24"/>
          <w:szCs w:val="24"/>
        </w:rPr>
      </w:pPr>
    </w:p>
    <w:p w:rsidR="00AC0505" w:rsidRDefault="00AC0505" w:rsidP="0063397A">
      <w:pPr>
        <w:spacing w:after="0" w:line="240" w:lineRule="auto"/>
        <w:jc w:val="center"/>
        <w:rPr>
          <w:rFonts w:ascii="Palatino Linotype" w:hAnsi="Palatino Linotype"/>
          <w:b/>
          <w:sz w:val="28"/>
          <w:szCs w:val="28"/>
        </w:rPr>
      </w:pPr>
      <w:r w:rsidRPr="003F3117">
        <w:rPr>
          <w:rFonts w:ascii="Palatino Linotype" w:hAnsi="Palatino Linotype"/>
          <w:b/>
          <w:sz w:val="28"/>
          <w:szCs w:val="28"/>
        </w:rPr>
        <w:t>Zulema Martínez Sánchez</w:t>
      </w:r>
      <w:r>
        <w:rPr>
          <w:rFonts w:ascii="Palatino Linotype" w:hAnsi="Palatino Linotype"/>
          <w:b/>
          <w:sz w:val="28"/>
          <w:szCs w:val="28"/>
        </w:rPr>
        <w:t xml:space="preserve">                        </w:t>
      </w:r>
    </w:p>
    <w:p w:rsidR="0063397A" w:rsidRDefault="00AC0505" w:rsidP="0063397A">
      <w:pPr>
        <w:spacing w:after="0" w:line="240" w:lineRule="auto"/>
        <w:jc w:val="center"/>
        <w:rPr>
          <w:rFonts w:ascii="Palatino Linotype" w:hAnsi="Palatino Linotype"/>
          <w:b/>
          <w:sz w:val="24"/>
          <w:szCs w:val="24"/>
        </w:rPr>
      </w:pPr>
      <w:r>
        <w:rPr>
          <w:rFonts w:ascii="Palatino Linotype" w:hAnsi="Palatino Linotype"/>
          <w:b/>
          <w:sz w:val="24"/>
          <w:szCs w:val="24"/>
        </w:rPr>
        <w:t>Comisionada</w:t>
      </w:r>
      <w:r w:rsidR="0063397A">
        <w:rPr>
          <w:rFonts w:ascii="Palatino Linotype" w:hAnsi="Palatino Linotype"/>
          <w:b/>
          <w:sz w:val="24"/>
          <w:szCs w:val="24"/>
        </w:rPr>
        <w:t xml:space="preserve"> Presidenta</w:t>
      </w:r>
    </w:p>
    <w:p w:rsidR="00AA2CD1" w:rsidRDefault="00AA2CD1" w:rsidP="0063397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63397A" w:rsidRDefault="0063397A" w:rsidP="0063397A">
      <w:pPr>
        <w:spacing w:after="0" w:line="240" w:lineRule="auto"/>
        <w:jc w:val="center"/>
        <w:rPr>
          <w:rFonts w:ascii="Palatino Linotype" w:hAnsi="Palatino Linotype"/>
          <w:sz w:val="20"/>
          <w:szCs w:val="20"/>
        </w:rPr>
      </w:pPr>
    </w:p>
    <w:p w:rsidR="00244C68" w:rsidRDefault="00244C68" w:rsidP="0063397A">
      <w:pPr>
        <w:spacing w:after="0" w:line="240" w:lineRule="auto"/>
        <w:jc w:val="center"/>
        <w:rPr>
          <w:rFonts w:ascii="Palatino Linotype" w:hAnsi="Palatino Linotype"/>
          <w:sz w:val="20"/>
          <w:szCs w:val="20"/>
        </w:rPr>
      </w:pPr>
    </w:p>
    <w:p w:rsidR="00E64EBB" w:rsidRDefault="00E64EBB" w:rsidP="0063397A">
      <w:pPr>
        <w:spacing w:after="0" w:line="240" w:lineRule="auto"/>
        <w:jc w:val="center"/>
        <w:rPr>
          <w:rFonts w:ascii="Palatino Linotype" w:hAnsi="Palatino Linotype"/>
          <w:sz w:val="20"/>
          <w:szCs w:val="20"/>
        </w:rPr>
      </w:pPr>
    </w:p>
    <w:p w:rsidR="00E64EBB" w:rsidRDefault="00E64EBB" w:rsidP="0063397A">
      <w:pPr>
        <w:spacing w:after="0" w:line="240" w:lineRule="auto"/>
        <w:jc w:val="center"/>
        <w:rPr>
          <w:rFonts w:ascii="Palatino Linotype" w:hAnsi="Palatino Linotype"/>
          <w:sz w:val="20"/>
          <w:szCs w:val="20"/>
        </w:rPr>
      </w:pPr>
    </w:p>
    <w:p w:rsidR="00E64EBB" w:rsidRDefault="00E64EBB" w:rsidP="0063397A">
      <w:pPr>
        <w:spacing w:after="0" w:line="240" w:lineRule="auto"/>
        <w:jc w:val="center"/>
        <w:rPr>
          <w:rFonts w:ascii="Palatino Linotype" w:hAnsi="Palatino Linotype"/>
          <w:sz w:val="20"/>
          <w:szCs w:val="20"/>
        </w:rPr>
      </w:pPr>
    </w:p>
    <w:p w:rsidR="00E64EBB" w:rsidRDefault="00E64EBB" w:rsidP="0063397A">
      <w:pPr>
        <w:spacing w:after="0" w:line="240" w:lineRule="auto"/>
        <w:jc w:val="center"/>
        <w:rPr>
          <w:rFonts w:ascii="Palatino Linotype" w:hAnsi="Palatino Linotype"/>
          <w:sz w:val="20"/>
          <w:szCs w:val="20"/>
        </w:rPr>
      </w:pPr>
    </w:p>
    <w:p w:rsidR="00E64EBB" w:rsidRDefault="00E64EBB" w:rsidP="0063397A">
      <w:pPr>
        <w:spacing w:after="0" w:line="240" w:lineRule="auto"/>
        <w:jc w:val="center"/>
        <w:rPr>
          <w:rFonts w:ascii="Palatino Linotype" w:hAnsi="Palatino Linotype"/>
          <w:sz w:val="20"/>
          <w:szCs w:val="20"/>
        </w:rPr>
      </w:pPr>
    </w:p>
    <w:p w:rsidR="00AC0505" w:rsidRPr="00862BD4" w:rsidRDefault="0063397A" w:rsidP="0063397A">
      <w:pPr>
        <w:spacing w:after="0" w:line="240" w:lineRule="auto"/>
        <w:jc w:val="both"/>
        <w:rPr>
          <w:rFonts w:ascii="Palatino Linotype" w:hAnsi="Palatino Linotype"/>
          <w:sz w:val="20"/>
          <w:szCs w:val="20"/>
        </w:rPr>
      </w:pPr>
      <w:r>
        <w:rPr>
          <w:rFonts w:ascii="Palatino Linotype" w:hAnsi="Palatino Linotype"/>
          <w:sz w:val="20"/>
          <w:szCs w:val="20"/>
        </w:rPr>
        <w:t>E</w:t>
      </w:r>
      <w:r w:rsidR="00AC0505" w:rsidRPr="00862BD4">
        <w:rPr>
          <w:rFonts w:ascii="Palatino Linotype" w:hAnsi="Palatino Linotype"/>
          <w:sz w:val="20"/>
          <w:szCs w:val="20"/>
        </w:rPr>
        <w:t>sta hoja corresponde al voto particular emitida en el recurso de revisión 0</w:t>
      </w:r>
      <w:r w:rsidR="007A56EC">
        <w:rPr>
          <w:rFonts w:ascii="Palatino Linotype" w:hAnsi="Palatino Linotype"/>
          <w:sz w:val="20"/>
          <w:szCs w:val="20"/>
        </w:rPr>
        <w:t>2637</w:t>
      </w:r>
      <w:r>
        <w:rPr>
          <w:rFonts w:ascii="Palatino Linotype" w:hAnsi="Palatino Linotype"/>
          <w:sz w:val="20"/>
          <w:szCs w:val="20"/>
        </w:rPr>
        <w:t>/INFOEM/IP/RR/201</w:t>
      </w:r>
      <w:r w:rsidR="00E64EBB">
        <w:rPr>
          <w:rFonts w:ascii="Palatino Linotype" w:hAnsi="Palatino Linotype"/>
          <w:sz w:val="20"/>
          <w:szCs w:val="20"/>
        </w:rPr>
        <w:t>8</w:t>
      </w:r>
      <w:r>
        <w:rPr>
          <w:rFonts w:ascii="Palatino Linotype" w:hAnsi="Palatino Linotype"/>
          <w:sz w:val="20"/>
          <w:szCs w:val="20"/>
        </w:rPr>
        <w:t xml:space="preserve"> </w:t>
      </w:r>
      <w:r w:rsidR="00AC0505" w:rsidRPr="00862BD4">
        <w:rPr>
          <w:rFonts w:ascii="Palatino Linotype" w:hAnsi="Palatino Linotype"/>
          <w:sz w:val="20"/>
          <w:szCs w:val="20"/>
        </w:rPr>
        <w:t xml:space="preserve">aprobado en fecha </w:t>
      </w:r>
      <w:r w:rsidR="007A56EC">
        <w:rPr>
          <w:rFonts w:ascii="Palatino Linotype" w:hAnsi="Palatino Linotype"/>
          <w:sz w:val="20"/>
          <w:szCs w:val="20"/>
        </w:rPr>
        <w:t>quince de agosto</w:t>
      </w:r>
      <w:r>
        <w:rPr>
          <w:rFonts w:ascii="Palatino Linotype" w:hAnsi="Palatino Linotype"/>
          <w:sz w:val="20"/>
          <w:szCs w:val="20"/>
        </w:rPr>
        <w:t xml:space="preserve"> de dos mil dieciocho</w:t>
      </w:r>
      <w:r w:rsidR="00AC0505" w:rsidRPr="00862BD4">
        <w:rPr>
          <w:rFonts w:ascii="Palatino Linotype" w:hAnsi="Palatino Linotype"/>
          <w:sz w:val="20"/>
          <w:szCs w:val="20"/>
        </w:rPr>
        <w:t>.</w:t>
      </w:r>
    </w:p>
    <w:p w:rsidR="002A5ADD" w:rsidRDefault="0063397A" w:rsidP="00AA2CD1">
      <w:pPr>
        <w:spacing w:after="0" w:line="240" w:lineRule="auto"/>
        <w:jc w:val="both"/>
      </w:pPr>
      <w:r>
        <w:rPr>
          <w:rFonts w:ascii="Palatino Linotype" w:hAnsi="Palatino Linotype"/>
          <w:sz w:val="20"/>
          <w:szCs w:val="20"/>
        </w:rPr>
        <w:t>OSAM/MOC</w:t>
      </w:r>
      <w:bookmarkStart w:id="0" w:name="_GoBack"/>
      <w:bookmarkEnd w:id="0"/>
    </w:p>
    <w:sectPr w:rsidR="002A5ADD" w:rsidSect="002E001E">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4B9" w:rsidRDefault="00EC54B9" w:rsidP="00AC0505">
      <w:pPr>
        <w:spacing w:after="0" w:line="240" w:lineRule="auto"/>
      </w:pPr>
      <w:r>
        <w:separator/>
      </w:r>
    </w:p>
  </w:endnote>
  <w:endnote w:type="continuationSeparator" w:id="0">
    <w:p w:rsidR="00EC54B9" w:rsidRDefault="00EC54B9" w:rsidP="00AC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E" w:rsidRPr="006C50A8" w:rsidRDefault="00052AAA" w:rsidP="002E001E">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4403A0">
      <w:rPr>
        <w:rFonts w:ascii="Palatino Linotype" w:hAnsi="Palatino Linotype" w:cs="Arial"/>
        <w:b/>
        <w:bCs/>
        <w:noProof/>
        <w:sz w:val="22"/>
        <w:szCs w:val="22"/>
      </w:rPr>
      <w:t>4</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4403A0">
      <w:rPr>
        <w:rFonts w:ascii="Palatino Linotype" w:hAnsi="Palatino Linotype" w:cs="Arial"/>
        <w:b/>
        <w:bCs/>
        <w:noProof/>
        <w:sz w:val="22"/>
        <w:szCs w:val="22"/>
      </w:rPr>
      <w:t>5</w:t>
    </w:r>
    <w:r w:rsidRPr="006C50A8">
      <w:rPr>
        <w:rFonts w:ascii="Palatino Linotype" w:hAnsi="Palatino Linotype" w:cs="Arial"/>
        <w:b/>
        <w:bCs/>
        <w:sz w:val="22"/>
        <w:szCs w:val="22"/>
      </w:rPr>
      <w:fldChar w:fldCharType="end"/>
    </w:r>
  </w:p>
  <w:p w:rsidR="002E001E" w:rsidRDefault="002E001E" w:rsidP="002E001E">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4B9" w:rsidRDefault="00EC54B9" w:rsidP="00AC0505">
      <w:pPr>
        <w:spacing w:after="0" w:line="240" w:lineRule="auto"/>
      </w:pPr>
      <w:r>
        <w:separator/>
      </w:r>
    </w:p>
  </w:footnote>
  <w:footnote w:type="continuationSeparator" w:id="0">
    <w:p w:rsidR="00EC54B9" w:rsidRDefault="00EC54B9" w:rsidP="00AC0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E" w:rsidRDefault="00052AAA">
    <w:pPr>
      <w:pStyle w:val="Encabezado"/>
    </w:pPr>
    <w:r>
      <w:rPr>
        <w:noProof/>
        <w:lang w:val="es-MX" w:eastAsia="es-MX"/>
      </w:rPr>
      <mc:AlternateContent>
        <mc:Choice Requires="wps">
          <w:drawing>
            <wp:anchor distT="0" distB="0" distL="114300" distR="114300" simplePos="0" relativeHeight="251657728" behindDoc="1" locked="0" layoutInCell="0" allowOverlap="1" wp14:anchorId="204456A2" wp14:editId="78BC43F0">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456A2"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5680" behindDoc="1" locked="0" layoutInCell="0" allowOverlap="1" wp14:anchorId="69874C24" wp14:editId="0680E7F5">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001E" w:rsidRDefault="00052AAA" w:rsidP="002E001E">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874C24" id="Cuadro de texto 2" o:spid="_x0000_s1027" type="#_x0000_t202" style="position:absolute;margin-left:0;margin-top:0;width:457.5pt;height:60.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2E001E" w:rsidRDefault="00052AAA" w:rsidP="002E001E">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E" w:rsidRDefault="00EC54B9" w:rsidP="002E001E">
    <w:pPr>
      <w:pStyle w:val="Encabezado"/>
      <w:jc w:val="right"/>
      <w:rPr>
        <w:rFonts w:ascii="Arial" w:hAnsi="Arial" w:cs="Arial"/>
        <w:sz w:val="20"/>
        <w:szCs w:val="20"/>
      </w:rPr>
    </w:pPr>
    <w:sdt>
      <w:sdtPr>
        <w:rPr>
          <w:rFonts w:ascii="Arial" w:hAnsi="Arial" w:cs="Arial"/>
          <w:sz w:val="20"/>
          <w:szCs w:val="20"/>
        </w:rPr>
        <w:id w:val="9356364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052AAA">
      <w:rPr>
        <w:noProof/>
        <w:lang w:val="es-MX" w:eastAsia="es-MX"/>
      </w:rPr>
      <mc:AlternateContent>
        <mc:Choice Requires="wps">
          <w:drawing>
            <wp:anchor distT="0" distB="0" distL="114300" distR="114300" simplePos="0" relativeHeight="251658752" behindDoc="1" locked="0" layoutInCell="0" allowOverlap="1" wp14:anchorId="1A4F648B" wp14:editId="72D0E75C">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4F648B"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052AAA">
      <w:rPr>
        <w:noProof/>
        <w:lang w:val="es-MX" w:eastAsia="es-MX"/>
      </w:rPr>
      <w:drawing>
        <wp:anchor distT="0" distB="0" distL="114300" distR="114300" simplePos="0" relativeHeight="251656704" behindDoc="1" locked="0" layoutInCell="1" allowOverlap="1" wp14:anchorId="53489D78" wp14:editId="23CDF7E9">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arto="http://schemas.microsoft.com/office/word/2006/arto"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2E001E" w:rsidRDefault="002E001E" w:rsidP="002E001E">
    <w:pPr>
      <w:pStyle w:val="Encabezado"/>
      <w:jc w:val="right"/>
      <w:rPr>
        <w:rFonts w:ascii="Arial" w:hAnsi="Arial" w:cs="Arial"/>
        <w:sz w:val="20"/>
        <w:szCs w:val="20"/>
      </w:rPr>
    </w:pPr>
  </w:p>
  <w:p w:rsidR="002E001E" w:rsidRDefault="002E001E" w:rsidP="002E001E">
    <w:pPr>
      <w:pStyle w:val="Encabezado"/>
      <w:jc w:val="right"/>
      <w:rPr>
        <w:rFonts w:ascii="Arial" w:hAnsi="Arial" w:cs="Arial"/>
        <w:sz w:val="20"/>
        <w:szCs w:val="20"/>
      </w:rPr>
    </w:pPr>
  </w:p>
  <w:p w:rsidR="002E001E" w:rsidRPr="00563D0F" w:rsidRDefault="00052AAA" w:rsidP="002E001E">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2E001E" w:rsidRPr="00563D0F" w:rsidRDefault="00052AAA" w:rsidP="002E001E">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C570F9">
      <w:rPr>
        <w:rFonts w:ascii="Palatino Linotype" w:hAnsi="Palatino Linotype" w:cs="Arial"/>
        <w:b/>
        <w:sz w:val="20"/>
        <w:szCs w:val="20"/>
      </w:rPr>
      <w:t>2376</w:t>
    </w:r>
    <w:r w:rsidRPr="00897E24">
      <w:rPr>
        <w:rFonts w:ascii="Palatino Linotype" w:hAnsi="Palatino Linotype" w:cs="Arial"/>
        <w:b/>
        <w:sz w:val="20"/>
        <w:szCs w:val="20"/>
      </w:rPr>
      <w:t>/INFOEM/IP/RR/201</w:t>
    </w:r>
    <w:r w:rsidR="00D90C80">
      <w:rPr>
        <w:rFonts w:ascii="Palatino Linotype" w:hAnsi="Palatino Linotype" w:cs="Arial"/>
        <w:b/>
        <w:sz w:val="20"/>
        <w:szCs w:val="20"/>
      </w:rPr>
      <w:t>8</w:t>
    </w:r>
  </w:p>
  <w:p w:rsidR="002E001E" w:rsidRDefault="002E001E" w:rsidP="002E001E">
    <w:pPr>
      <w:pStyle w:val="Encabezado"/>
      <w:jc w:val="right"/>
      <w:rPr>
        <w:rFonts w:ascii="Palatino Linotype" w:hAnsi="Palatino Linotype" w:cs="Arial"/>
        <w:sz w:val="20"/>
        <w:szCs w:val="20"/>
      </w:rPr>
    </w:pPr>
  </w:p>
  <w:p w:rsidR="002E001E" w:rsidRDefault="002E001E" w:rsidP="002E001E">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9D048C"/>
    <w:multiLevelType w:val="hybridMultilevel"/>
    <w:tmpl w:val="FEBE86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05"/>
    <w:rsid w:val="00052AAA"/>
    <w:rsid w:val="0009400C"/>
    <w:rsid w:val="0009511B"/>
    <w:rsid w:val="00147433"/>
    <w:rsid w:val="001C51EC"/>
    <w:rsid w:val="001C5DA4"/>
    <w:rsid w:val="0024254B"/>
    <w:rsid w:val="00244C68"/>
    <w:rsid w:val="002562E3"/>
    <w:rsid w:val="002A5ADD"/>
    <w:rsid w:val="002E001E"/>
    <w:rsid w:val="002F722D"/>
    <w:rsid w:val="003C6C6A"/>
    <w:rsid w:val="003F2E0A"/>
    <w:rsid w:val="004302F8"/>
    <w:rsid w:val="004403A0"/>
    <w:rsid w:val="00466BB6"/>
    <w:rsid w:val="00491A21"/>
    <w:rsid w:val="004C4149"/>
    <w:rsid w:val="005A0F44"/>
    <w:rsid w:val="005F7357"/>
    <w:rsid w:val="0063397A"/>
    <w:rsid w:val="00673A34"/>
    <w:rsid w:val="007379EC"/>
    <w:rsid w:val="00765FE6"/>
    <w:rsid w:val="007724D2"/>
    <w:rsid w:val="00786579"/>
    <w:rsid w:val="007A56EC"/>
    <w:rsid w:val="007F72FA"/>
    <w:rsid w:val="008110A9"/>
    <w:rsid w:val="009F1838"/>
    <w:rsid w:val="00A36DBB"/>
    <w:rsid w:val="00A84700"/>
    <w:rsid w:val="00AA2CD1"/>
    <w:rsid w:val="00AC0505"/>
    <w:rsid w:val="00AE3336"/>
    <w:rsid w:val="00AF2AFE"/>
    <w:rsid w:val="00AF7155"/>
    <w:rsid w:val="00B007B7"/>
    <w:rsid w:val="00C00A80"/>
    <w:rsid w:val="00C11372"/>
    <w:rsid w:val="00C570F9"/>
    <w:rsid w:val="00C81AF0"/>
    <w:rsid w:val="00D2657A"/>
    <w:rsid w:val="00D90C80"/>
    <w:rsid w:val="00E64EBB"/>
    <w:rsid w:val="00EC54B9"/>
    <w:rsid w:val="00F45558"/>
    <w:rsid w:val="00FD64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8885485-FF3C-40D7-A444-2E4667FC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5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050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C0505"/>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C05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AC0505"/>
    <w:pPr>
      <w:spacing w:line="256" w:lineRule="auto"/>
      <w:ind w:left="720"/>
      <w:contextualSpacing/>
    </w:pPr>
  </w:style>
  <w:style w:type="character" w:customStyle="1" w:styleId="PrrafodelistaCar">
    <w:name w:val="Párrafo de lista Car"/>
    <w:link w:val="Prrafodelista"/>
    <w:uiPriority w:val="72"/>
    <w:locked/>
    <w:rsid w:val="00AC0505"/>
  </w:style>
  <w:style w:type="paragraph" w:styleId="Textodeglobo">
    <w:name w:val="Balloon Text"/>
    <w:basedOn w:val="Normal"/>
    <w:link w:val="TextodegloboCar"/>
    <w:uiPriority w:val="99"/>
    <w:semiHidden/>
    <w:unhideWhenUsed/>
    <w:rsid w:val="004C41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149"/>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E333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E333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E3336"/>
    <w:rPr>
      <w:vertAlign w:val="superscript"/>
    </w:rPr>
  </w:style>
  <w:style w:type="character" w:styleId="Hipervnculo">
    <w:name w:val="Hyperlink"/>
    <w:basedOn w:val="Fuentedeprrafopredeter"/>
    <w:uiPriority w:val="99"/>
    <w:unhideWhenUsed/>
    <w:rsid w:val="00AF2A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952</Words>
  <Characters>5241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2018-08-20T22:55:00Z</cp:lastPrinted>
  <dcterms:created xsi:type="dcterms:W3CDTF">2018-07-12T22:44:00Z</dcterms:created>
  <dcterms:modified xsi:type="dcterms:W3CDTF">2018-08-20T22:56:00Z</dcterms:modified>
</cp:coreProperties>
</file>